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3"/>
        <w:gridCol w:w="1701"/>
        <w:gridCol w:w="3276"/>
      </w:tblGrid>
      <w:tr w:rsidR="005330F2" w14:paraId="370C5164" w14:textId="77777777"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0C5163" w14:textId="77777777" w:rsidR="005330F2" w:rsidRPr="00234F58" w:rsidRDefault="005330F2" w:rsidP="00A05062">
            <w:pPr>
              <w:spacing w:after="0"/>
              <w:ind w:firstLine="0"/>
              <w:jc w:val="right"/>
              <w:rPr>
                <w:rFonts w:asciiTheme="minorHAnsi" w:hAnsiTheme="minorHAnsi"/>
                <w:b/>
                <w:bCs/>
                <w:i/>
                <w:iCs/>
                <w:smallCaps/>
                <w:spacing w:val="30"/>
                <w:sz w:val="28"/>
                <w:szCs w:val="28"/>
              </w:rPr>
            </w:pPr>
            <w:r w:rsidRPr="00234F58">
              <w:rPr>
                <w:rFonts w:asciiTheme="minorHAnsi" w:hAnsiTheme="minorHAnsi"/>
                <w:b/>
                <w:bCs/>
                <w:i/>
                <w:iCs/>
                <w:smallCaps/>
                <w:spacing w:val="30"/>
                <w:sz w:val="28"/>
                <w:szCs w:val="28"/>
              </w:rPr>
              <w:t>Estrutura Curricular (EC)</w:t>
            </w:r>
          </w:p>
        </w:tc>
      </w:tr>
      <w:tr w:rsidR="005330F2" w14:paraId="370C5166" w14:textId="77777777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165" w14:textId="77777777" w:rsidR="005330F2" w:rsidRPr="00B22856" w:rsidRDefault="005330F2" w:rsidP="00AF6CF8">
            <w:pPr>
              <w:spacing w:before="60" w:after="60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B22856">
              <w:rPr>
                <w:rFonts w:asciiTheme="minorHAnsi" w:hAnsiTheme="minorHAnsi"/>
                <w:smallCaps/>
                <w:sz w:val="24"/>
                <w:szCs w:val="24"/>
              </w:rPr>
              <w:t>Formulário nº 1</w:t>
            </w:r>
            <w:r w:rsidR="007E6FC4" w:rsidRPr="00B22856">
              <w:rPr>
                <w:rFonts w:asciiTheme="minorHAnsi" w:hAnsiTheme="minorHAnsi"/>
                <w:smallCaps/>
                <w:sz w:val="24"/>
                <w:szCs w:val="24"/>
              </w:rPr>
              <w:t>3</w:t>
            </w:r>
            <w:r w:rsidRPr="00B22856">
              <w:rPr>
                <w:rFonts w:asciiTheme="minorHAnsi" w:hAnsiTheme="minorHAnsi"/>
                <w:smallCaps/>
                <w:sz w:val="24"/>
                <w:szCs w:val="24"/>
              </w:rPr>
              <w:t xml:space="preserve">  –   </w:t>
            </w:r>
            <w:r w:rsidRPr="00234F58">
              <w:rPr>
                <w:rFonts w:asciiTheme="minorHAnsi" w:hAnsiTheme="minorHAnsi"/>
                <w:b/>
                <w:bCs/>
                <w:i/>
                <w:iCs/>
                <w:smallCaps/>
                <w:spacing w:val="30"/>
                <w:sz w:val="28"/>
                <w:szCs w:val="28"/>
              </w:rPr>
              <w:t>Especificação  da  Disciplina/Atividade</w:t>
            </w:r>
            <w:r w:rsidRPr="00B22856">
              <w:rPr>
                <w:rFonts w:asciiTheme="minorHAnsi" w:hAnsiTheme="minorHAnsi"/>
                <w:smallCaps/>
                <w:sz w:val="24"/>
                <w:szCs w:val="24"/>
              </w:rPr>
              <w:t xml:space="preserve"> </w:t>
            </w:r>
          </w:p>
        </w:tc>
      </w:tr>
      <w:tr w:rsidR="00A92E96" w14:paraId="370C5169" w14:textId="77777777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167" w14:textId="77777777" w:rsidR="00A92E96" w:rsidRPr="00234F58" w:rsidRDefault="00A92E96">
            <w:pPr>
              <w:spacing w:before="120" w:after="0"/>
              <w:ind w:firstLine="0"/>
              <w:jc w:val="center"/>
              <w:rPr>
                <w:rFonts w:asciiTheme="minorHAnsi" w:hAnsiTheme="minorHAnsi" w:cs="Calibri"/>
                <w:b/>
                <w:bCs/>
                <w:smallCaps/>
                <w:spacing w:val="20"/>
                <w:sz w:val="24"/>
                <w:szCs w:val="24"/>
              </w:rPr>
            </w:pPr>
            <w:r w:rsidRPr="00234F58">
              <w:rPr>
                <w:rFonts w:asciiTheme="minorHAnsi" w:hAnsiTheme="minorHAnsi" w:cs="Calibri"/>
                <w:b/>
                <w:bCs/>
                <w:smallCaps/>
                <w:spacing w:val="20"/>
                <w:sz w:val="24"/>
                <w:szCs w:val="24"/>
              </w:rPr>
              <w:t>Conteúdo de estudos</w:t>
            </w:r>
          </w:p>
          <w:p w14:paraId="370C5168" w14:textId="77777777" w:rsidR="00B04342" w:rsidRPr="00B22856" w:rsidRDefault="00B04342">
            <w:pPr>
              <w:spacing w:before="120" w:after="0"/>
              <w:ind w:firstLine="0"/>
              <w:jc w:val="center"/>
              <w:rPr>
                <w:rFonts w:asciiTheme="minorHAnsi" w:hAnsiTheme="minorHAnsi" w:cs="Calibri"/>
                <w:b/>
                <w:bCs/>
                <w:smallCaps/>
                <w:sz w:val="24"/>
                <w:szCs w:val="24"/>
              </w:rPr>
            </w:pPr>
          </w:p>
        </w:tc>
      </w:tr>
      <w:tr w:rsidR="005330F2" w14:paraId="370C516F" w14:textId="77777777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16A" w14:textId="77777777" w:rsidR="005330F2" w:rsidRPr="00234F58" w:rsidRDefault="005330F2">
            <w:pPr>
              <w:pStyle w:val="Ttulo1"/>
              <w:rPr>
                <w:rFonts w:asciiTheme="minorHAnsi" w:hAnsiTheme="minorHAnsi" w:cs="Calibri"/>
                <w:spacing w:val="20"/>
                <w:sz w:val="24"/>
                <w:szCs w:val="24"/>
              </w:rPr>
            </w:pPr>
            <w:r w:rsidRPr="00234F58">
              <w:rPr>
                <w:rFonts w:asciiTheme="minorHAnsi" w:hAnsiTheme="minorHAnsi" w:cs="Calibri"/>
                <w:spacing w:val="20"/>
                <w:sz w:val="24"/>
                <w:szCs w:val="24"/>
              </w:rPr>
              <w:t>Nome da Disciplina/Atividade</w:t>
            </w:r>
          </w:p>
          <w:p w14:paraId="370C516B" w14:textId="1F073250" w:rsidR="00B04342" w:rsidRPr="00B04342" w:rsidRDefault="004112DE" w:rsidP="00B04342">
            <w:r>
              <w:t>Tópicos Especiais em Economia do Trabalho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FBF1" w14:textId="77777777" w:rsidR="005330F2" w:rsidRDefault="005330F2">
            <w:pPr>
              <w:pStyle w:val="Ttulo1"/>
              <w:rPr>
                <w:rFonts w:asciiTheme="minorHAnsi" w:hAnsiTheme="minorHAnsi" w:cs="Calibri"/>
                <w:spacing w:val="20"/>
                <w:sz w:val="24"/>
                <w:szCs w:val="24"/>
              </w:rPr>
            </w:pPr>
            <w:r w:rsidRPr="00234F58">
              <w:rPr>
                <w:rFonts w:asciiTheme="minorHAnsi" w:hAnsiTheme="minorHAnsi" w:cs="Calibri"/>
                <w:spacing w:val="20"/>
                <w:sz w:val="24"/>
                <w:szCs w:val="24"/>
              </w:rPr>
              <w:t>Código</w:t>
            </w:r>
          </w:p>
          <w:p w14:paraId="5A69E117" w14:textId="77777777" w:rsidR="004112DE" w:rsidRDefault="004112DE" w:rsidP="004112DE">
            <w:pPr>
              <w:autoSpaceDE/>
              <w:autoSpaceDN/>
              <w:spacing w:after="0"/>
              <w:ind w:firstLine="0"/>
              <w:rPr>
                <w:rFonts w:ascii="sansserif" w:hAnsi="sansserif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22"/>
                <w:szCs w:val="22"/>
              </w:rPr>
              <w:t>CEC00070</w:t>
            </w:r>
          </w:p>
          <w:p w14:paraId="370C516C" w14:textId="14613E91" w:rsidR="004112DE" w:rsidRPr="004112DE" w:rsidRDefault="004112DE" w:rsidP="004112DE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0C516D" w14:textId="77777777" w:rsidR="005330F2" w:rsidRDefault="005330F2">
            <w:pPr>
              <w:spacing w:before="120" w:after="0"/>
              <w:ind w:firstLine="0"/>
              <w:jc w:val="center"/>
              <w:rPr>
                <w:rFonts w:asciiTheme="minorHAnsi" w:hAnsiTheme="minorHAnsi" w:cs="Calibri"/>
                <w:smallCaps/>
                <w:sz w:val="24"/>
                <w:szCs w:val="24"/>
              </w:rPr>
            </w:pP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>Criação     (   )</w:t>
            </w:r>
          </w:p>
          <w:p w14:paraId="370C516E" w14:textId="77777777" w:rsidR="00B04342" w:rsidRPr="00B22856" w:rsidRDefault="00B04342">
            <w:pPr>
              <w:spacing w:before="120" w:after="0"/>
              <w:ind w:firstLine="0"/>
              <w:jc w:val="center"/>
              <w:rPr>
                <w:rFonts w:asciiTheme="minorHAnsi" w:hAnsiTheme="minorHAnsi" w:cs="Calibri"/>
                <w:smallCaps/>
                <w:sz w:val="24"/>
                <w:szCs w:val="24"/>
              </w:rPr>
            </w:pP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>Alteração: nome  (   )  CH (   )</w:t>
            </w:r>
          </w:p>
        </w:tc>
      </w:tr>
      <w:tr w:rsidR="00F0648E" w14:paraId="370C5171" w14:textId="77777777" w:rsidTr="00B04342">
        <w:trPr>
          <w:cantSplit/>
          <w:trHeight w:val="51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5170" w14:textId="7BEF88BE" w:rsidR="00F0648E" w:rsidRPr="00B22856" w:rsidRDefault="00F0648E" w:rsidP="00B04342">
            <w:pPr>
              <w:ind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Departamento/Coordenação de Execução: </w:t>
            </w:r>
            <w:r w:rsidR="004112DE">
              <w:rPr>
                <w:rFonts w:asciiTheme="minorHAnsi" w:hAnsiTheme="minorHAnsi" w:cs="Calibri"/>
                <w:smallCaps/>
                <w:sz w:val="24"/>
                <w:szCs w:val="24"/>
              </w:rPr>
              <w:t>Departamento de Economia de Campos (CEC)</w:t>
            </w:r>
          </w:p>
        </w:tc>
      </w:tr>
      <w:tr w:rsidR="005330F2" w14:paraId="370C5173" w14:textId="77777777" w:rsidTr="00B04342">
        <w:trPr>
          <w:cantSplit/>
          <w:trHeight w:val="51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172" w14:textId="07633C18" w:rsidR="005330F2" w:rsidRPr="00B22856" w:rsidRDefault="005330F2" w:rsidP="00B04342">
            <w:pPr>
              <w:spacing w:before="120" w:after="0"/>
              <w:ind w:firstLine="0"/>
              <w:rPr>
                <w:rFonts w:asciiTheme="minorHAnsi" w:hAnsiTheme="minorHAnsi" w:cs="Calibri"/>
                <w:smallCaps/>
                <w:sz w:val="24"/>
                <w:szCs w:val="24"/>
              </w:rPr>
            </w:pP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Carga Horária total: </w:t>
            </w:r>
            <w:r w:rsidR="004112DE">
              <w:rPr>
                <w:rFonts w:asciiTheme="minorHAnsi" w:hAnsiTheme="minorHAnsi" w:cs="Calibri"/>
                <w:smallCaps/>
                <w:sz w:val="24"/>
                <w:szCs w:val="24"/>
              </w:rPr>
              <w:t>60</w:t>
            </w: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   </w:t>
            </w:r>
            <w:r w:rsidR="00AF6CF8"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                      </w:t>
            </w: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   Teórica: </w:t>
            </w:r>
            <w:r w:rsidR="00AF6CF8"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</w:t>
            </w:r>
            <w:r w:rsidR="004112DE">
              <w:rPr>
                <w:rFonts w:asciiTheme="minorHAnsi" w:hAnsiTheme="minorHAnsi" w:cs="Calibri"/>
                <w:smallCaps/>
                <w:sz w:val="24"/>
                <w:szCs w:val="24"/>
              </w:rPr>
              <w:t>60</w:t>
            </w:r>
            <w:r w:rsidR="00AF6CF8"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</w:t>
            </w: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            Prática: </w:t>
            </w:r>
            <w:r w:rsidR="00AF6CF8"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</w:t>
            </w:r>
            <w:r w:rsidR="0026249A"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  </w:t>
            </w: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           Estágio:</w:t>
            </w:r>
          </w:p>
        </w:tc>
      </w:tr>
      <w:tr w:rsidR="005330F2" w14:paraId="370C5175" w14:textId="77777777" w:rsidTr="00B04342">
        <w:trPr>
          <w:cantSplit/>
          <w:trHeight w:val="51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174" w14:textId="1FC94177" w:rsidR="005330F2" w:rsidRPr="00B22856" w:rsidRDefault="005330F2" w:rsidP="00B04342">
            <w:pPr>
              <w:spacing w:before="120" w:after="0"/>
              <w:ind w:firstLine="0"/>
              <w:rPr>
                <w:rFonts w:asciiTheme="minorHAnsi" w:hAnsiTheme="minorHAnsi" w:cs="Calibri"/>
                <w:smallCaps/>
                <w:sz w:val="24"/>
                <w:szCs w:val="24"/>
              </w:rPr>
            </w:pP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Disciplina/Atividade:  Obrigatória   ( </w:t>
            </w:r>
            <w:r w:rsidR="00A92E96"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</w:t>
            </w: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)       </w:t>
            </w:r>
            <w:r w:rsidR="00A92E96"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    </w:t>
            </w: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Optativa   (</w:t>
            </w:r>
            <w:r w:rsidR="004112DE">
              <w:rPr>
                <w:rFonts w:asciiTheme="minorHAnsi" w:hAnsiTheme="minorHAnsi" w:cs="Calibri"/>
                <w:smallCaps/>
                <w:sz w:val="24"/>
                <w:szCs w:val="24"/>
              </w:rPr>
              <w:t>X</w:t>
            </w: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>)</w:t>
            </w:r>
            <w:r w:rsidR="00A92E96"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                                    AC   (     )</w:t>
            </w:r>
          </w:p>
        </w:tc>
      </w:tr>
      <w:tr w:rsidR="005330F2" w:rsidRPr="00E61193" w14:paraId="370C5178" w14:textId="77777777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176" w14:textId="77777777" w:rsidR="00F923A2" w:rsidRPr="00234F58" w:rsidRDefault="00AE7E5A" w:rsidP="00F923A2">
            <w:pPr>
              <w:ind w:firstLine="0"/>
              <w:rPr>
                <w:rFonts w:ascii="Calibri" w:hAnsi="Calibri" w:cs="Calibri"/>
                <w:smallCaps/>
              </w:rPr>
            </w:pPr>
            <w:r w:rsidRPr="00234F58">
              <w:rPr>
                <w:rFonts w:ascii="Calibri" w:hAnsi="Calibri" w:cs="Calibri"/>
                <w:smallCaps/>
              </w:rPr>
              <w:t>Objetivos da Disciplina/Atividade:</w:t>
            </w:r>
            <w:r w:rsidR="009168F5" w:rsidRPr="00234F58">
              <w:rPr>
                <w:rFonts w:ascii="Calibri" w:hAnsi="Calibri" w:cs="Calibri"/>
                <w:smallCaps/>
              </w:rPr>
              <w:t xml:space="preserve"> </w:t>
            </w:r>
          </w:p>
          <w:p w14:paraId="370C5177" w14:textId="0A41B675" w:rsidR="005330F2" w:rsidRPr="00B04342" w:rsidRDefault="004112DE" w:rsidP="00E30F7B">
            <w:pPr>
              <w:ind w:firstLine="0"/>
              <w:rPr>
                <w:rFonts w:ascii="Calibri" w:hAnsi="Calibri" w:cs="Calibri"/>
                <w:smallCaps/>
                <w:sz w:val="22"/>
                <w:szCs w:val="22"/>
              </w:rPr>
            </w:pPr>
            <w:r>
              <w:t>Esta disciplina tem o objetivo de apresentar “O trabalho”, capítulo da “</w:t>
            </w:r>
            <w:r w:rsidRPr="000A1B3C">
              <w:rPr>
                <w:i/>
              </w:rPr>
              <w:t>Ontologia do Ser Social</w:t>
            </w:r>
            <w:r>
              <w:t>” de Lukács. Trata-se de uma contribuição decisiva para os debates em filosofia da ciência em geral, e para a compreensão do processo de trabalho e de sua relação com o conjunto da vida social. Por sua fecundidade, o texto propicia grande expansão na percepção dos alunos para as diversas importantes sutilezas das contendas na área de Pensamento Econômico</w:t>
            </w:r>
          </w:p>
        </w:tc>
      </w:tr>
      <w:tr w:rsidR="005C714F" w:rsidRPr="00E61193" w14:paraId="370C517C" w14:textId="77777777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179" w14:textId="77777777" w:rsidR="00F923A2" w:rsidRPr="00E30F7B" w:rsidRDefault="001764A5" w:rsidP="00B04342">
            <w:pPr>
              <w:ind w:firstLine="0"/>
              <w:rPr>
                <w:rFonts w:ascii="Calibri" w:hAnsi="Calibri" w:cs="Calibri"/>
                <w:smallCaps/>
              </w:rPr>
            </w:pPr>
            <w:r w:rsidRPr="00E30F7B">
              <w:rPr>
                <w:rFonts w:ascii="Calibri" w:hAnsi="Calibri" w:cs="Calibri"/>
                <w:smallCaps/>
              </w:rPr>
              <w:t>Descrição da Ementa:</w:t>
            </w:r>
            <w:r w:rsidR="009168F5" w:rsidRPr="00E30F7B">
              <w:rPr>
                <w:rFonts w:ascii="Calibri" w:hAnsi="Calibri" w:cs="Calibri"/>
                <w:smallCaps/>
              </w:rPr>
              <w:t xml:space="preserve"> </w:t>
            </w:r>
          </w:p>
          <w:p w14:paraId="4F5BFD7C" w14:textId="77777777" w:rsidR="004112DE" w:rsidRDefault="004112DE" w:rsidP="004112DE">
            <w:pPr>
              <w:ind w:firstLine="708"/>
            </w:pPr>
            <w:r>
              <w:t>A complexidade do texto implica que qualquer tentativa de catalogar brevemente suas vantagens corra grande risco de dilapidá-lo. Para evitar esse risco, utiliza-se aqui, como apresentação geral do texto, um fragmento de “</w:t>
            </w:r>
            <w:r w:rsidRPr="000A1B3C">
              <w:rPr>
                <w:i/>
              </w:rPr>
              <w:t>Uma Apresentação à Ontologia do Ser Social, de Lukács</w:t>
            </w:r>
            <w:r>
              <w:t xml:space="preserve">”, de </w:t>
            </w:r>
            <w:proofErr w:type="spellStart"/>
            <w:r>
              <w:t>Tertulian</w:t>
            </w:r>
            <w:proofErr w:type="spellEnd"/>
            <w:r>
              <w:t>, que está disponível na internet, em link indicado na bibliografia do programa, para os eventuais interessados. O fragmento indica as questões principais que Lukács aborda em seu texto e revela a sofisticação de seus conceitos, dispensando considerações sobre a necessidade de 60 horas para uma adequada apresentação.</w:t>
            </w:r>
          </w:p>
          <w:p w14:paraId="17185830" w14:textId="77777777" w:rsidR="004112DE" w:rsidRDefault="004112DE" w:rsidP="004112DE">
            <w:pPr>
              <w:ind w:left="708" w:firstLine="708"/>
            </w:pPr>
            <w:r>
              <w:t>“</w:t>
            </w:r>
            <w:r w:rsidRPr="00CB2535">
              <w:t>Na tensão dialética entre teleologia e</w:t>
            </w:r>
            <w:r>
              <w:t xml:space="preserve"> </w:t>
            </w:r>
            <w:r w:rsidRPr="00CB2535">
              <w:t>causalidade, entre as representações da consciência que fixa os seus objetivos e a reali</w:t>
            </w:r>
            <w:r>
              <w:t xml:space="preserve">dade </w:t>
            </w:r>
            <w:proofErr w:type="spellStart"/>
            <w:r>
              <w:t>indelirnitável</w:t>
            </w:r>
            <w:proofErr w:type="spellEnd"/>
            <w:r>
              <w:t xml:space="preserve"> das cadeias</w:t>
            </w:r>
            <w:r w:rsidRPr="00CB2535">
              <w:t xml:space="preserve"> causais, Lukács vê o </w:t>
            </w:r>
            <w:proofErr w:type="spellStart"/>
            <w:r w:rsidRPr="001A1EC0">
              <w:rPr>
                <w:i/>
              </w:rPr>
              <w:t>principium</w:t>
            </w:r>
            <w:proofErr w:type="spellEnd"/>
            <w:r w:rsidRPr="001A1EC0">
              <w:rPr>
                <w:i/>
              </w:rPr>
              <w:t xml:space="preserve"> </w:t>
            </w:r>
            <w:proofErr w:type="spellStart"/>
            <w:r w:rsidRPr="001A1EC0">
              <w:rPr>
                <w:i/>
              </w:rPr>
              <w:t>movens</w:t>
            </w:r>
            <w:proofErr w:type="spellEnd"/>
            <w:r w:rsidRPr="00CB2535">
              <w:t xml:space="preserve"> do ato do trabalho.  </w:t>
            </w:r>
          </w:p>
          <w:p w14:paraId="1BFBF09F" w14:textId="77777777" w:rsidR="004112DE" w:rsidRDefault="004112DE" w:rsidP="004112DE">
            <w:pPr>
              <w:ind w:left="708" w:firstLine="708"/>
            </w:pPr>
            <w:r>
              <w:t>“Fixando no ‘pôr teleológico’</w:t>
            </w:r>
            <w:r w:rsidRPr="000A1B3C">
              <w:t xml:space="preserve"> a célula geradora  (</w:t>
            </w:r>
            <w:proofErr w:type="spellStart"/>
            <w:r w:rsidRPr="000A1B3C">
              <w:rPr>
                <w:i/>
              </w:rPr>
              <w:t>Urphiinomen</w:t>
            </w:r>
            <w:proofErr w:type="spellEnd"/>
            <w:r w:rsidRPr="000A1B3C">
              <w:t xml:space="preserve">,  o </w:t>
            </w:r>
            <w:r>
              <w:t>‘fenômeno originário’</w:t>
            </w:r>
            <w:r w:rsidRPr="000A1B3C">
              <w:t>) da vid</w:t>
            </w:r>
            <w:r>
              <w:t xml:space="preserve">a social e </w:t>
            </w:r>
            <w:proofErr w:type="spellStart"/>
            <w:r>
              <w:t>na</w:t>
            </w:r>
            <w:proofErr w:type="spellEnd"/>
            <w:r>
              <w:t xml:space="preserve"> proliferação das ‘</w:t>
            </w:r>
            <w:r w:rsidRPr="000A1B3C">
              <w:t xml:space="preserve">posições </w:t>
            </w:r>
            <w:r>
              <w:t>teleológicas’</w:t>
            </w:r>
            <w:r w:rsidRPr="000A1B3C">
              <w:t xml:space="preserve"> o seu conteúdo dinâmico, Lukács toma impossível a confusão entre a vida da natureza e a vida da sociedade: a primeira é dominada pela causalidade espontânea, não teleológica por definição, enquanto a segunda é constituída através dos atos finalísticos dos indivíduos. Mas a conexão indissolúvel entre finalismo e causalidade lhe permite demonstrar tanto o caráter de irredutibilidade do mundo dos valores, que é produto da </w:t>
            </w:r>
            <w:r>
              <w:t>consciência ‘</w:t>
            </w:r>
            <w:proofErr w:type="spellStart"/>
            <w:r>
              <w:t>ponente</w:t>
            </w:r>
            <w:proofErr w:type="spellEnd"/>
            <w:r>
              <w:t>’</w:t>
            </w:r>
            <w:r w:rsidRPr="000A1B3C">
              <w:t xml:space="preserve"> (os fins nunca são apenas epifenômenos da causalidade natural) como o necessário enraizamento dos valores na rede das cadeias causais, objetivas e subjetivas. Deste modo, sua ontologia do ser social tem como fundamento uma teoria dialética da gênese dos valores. O ato de pôr os fins, cuja origem está nas necessidades incessantemente renovadas </w:t>
            </w:r>
            <w:r w:rsidRPr="000A1B3C">
              <w:lastRenderedPageBreak/>
              <w:t xml:space="preserve">e extremamente diversificadas dos indivíduos, somente pode ser dissociado das efetivas determinações do real (incluídas as </w:t>
            </w:r>
            <w:r>
              <w:t>possibilidades e as latências) ‘com o risco do falimento’</w:t>
            </w:r>
            <w:r w:rsidRPr="000A1B3C">
              <w:t xml:space="preserve"> (uma expressão de Marx -  </w:t>
            </w:r>
            <w:r w:rsidRPr="003B318F">
              <w:rPr>
                <w:i/>
              </w:rPr>
              <w:t xml:space="preserve">hei </w:t>
            </w:r>
            <w:proofErr w:type="spellStart"/>
            <w:r w:rsidRPr="003B318F">
              <w:rPr>
                <w:i/>
              </w:rPr>
              <w:t>Strafe</w:t>
            </w:r>
            <w:proofErr w:type="spellEnd"/>
            <w:r w:rsidRPr="003B318F">
              <w:rPr>
                <w:i/>
              </w:rPr>
              <w:t xml:space="preserve"> </w:t>
            </w:r>
            <w:proofErr w:type="spellStart"/>
            <w:r w:rsidRPr="003B318F">
              <w:rPr>
                <w:i/>
              </w:rPr>
              <w:t>des</w:t>
            </w:r>
            <w:proofErr w:type="spellEnd"/>
            <w:r w:rsidRPr="003B318F">
              <w:rPr>
                <w:i/>
              </w:rPr>
              <w:t xml:space="preserve"> </w:t>
            </w:r>
            <w:proofErr w:type="spellStart"/>
            <w:r w:rsidRPr="003B318F">
              <w:rPr>
                <w:i/>
              </w:rPr>
              <w:t>Untergangs</w:t>
            </w:r>
            <w:proofErr w:type="spellEnd"/>
            <w:r w:rsidRPr="000A1B3C">
              <w:t xml:space="preserve"> - que volta continuamente, como um </w:t>
            </w:r>
            <w:r w:rsidRPr="003B318F">
              <w:rPr>
                <w:i/>
              </w:rPr>
              <w:t>leitmotiv</w:t>
            </w:r>
            <w:r w:rsidRPr="000A1B3C">
              <w:t xml:space="preserve">, na pena de Lukács). Daí resulta que as posições teleológicas são duplamente condicionadas: autocondicionadas pela consciência que põe, que age impulsionada pelas necessidades e pelos projetos individuais, e </w:t>
            </w:r>
            <w:proofErr w:type="spellStart"/>
            <w:r w:rsidRPr="000A1B3C">
              <w:t>heterocondicionadas</w:t>
            </w:r>
            <w:proofErr w:type="spellEnd"/>
            <w:r w:rsidRPr="000A1B3C">
              <w:t xml:space="preserve"> pelas determinações objetivas do real. Como é óbvio, os dois aspectos estão inextricavelmente interligados. Por outro lado, Lukács distingue pelo menos dois tipos de posições teleológicas: aquelas que têm como objeto a natureza em si, ou seja, aquelas que asseguram o intercâmbio orgânico entre a sociedade e a natureza (cujo exemplo privilegiado é a satisfação das necessidades econômicas) e aquelas que têm como objeto a consciência dos outros, isto é, aquelas que tentam influenciar e modelar o comportamento (é a área das relações intersubjetivas por excelência que culmina na Ética).  </w:t>
            </w:r>
          </w:p>
          <w:p w14:paraId="2B4ACCAB" w14:textId="77777777" w:rsidR="004112DE" w:rsidRPr="000A1B3C" w:rsidRDefault="004112DE" w:rsidP="004112DE">
            <w:pPr>
              <w:ind w:left="708" w:firstLine="708"/>
            </w:pPr>
            <w:r>
              <w:t>“</w:t>
            </w:r>
            <w:r w:rsidRPr="000A1B3C">
              <w:t xml:space="preserve">O esforço para fazer justiça à especificidade de todos os tipos de posição teleológica, levando em conta tanto sua necessária interação como a lei interna de cada um deles, leva a resultados importantes. A sociedade é </w:t>
            </w:r>
            <w:r>
              <w:t>definida como um ‘complexo de complexos’</w:t>
            </w:r>
            <w:r w:rsidRPr="000A1B3C">
              <w:t>. Sublinhando com força a heterogeneidade de cada um dos complexos em relação ao outro, incluindo aí os mais intimamente interligados (por exemplo, o Direito e a Economia) e afirmando a lógica irredutível de cada um, Lukács exclui definitivamente a concepção retilínea e monolítica do p</w:t>
            </w:r>
            <w:r>
              <w:t>rogresso histórico.</w:t>
            </w:r>
            <w:r w:rsidRPr="000A1B3C">
              <w:t xml:space="preserve"> Desse modo, o filósofo pode tomar distância tanto do </w:t>
            </w:r>
            <w:proofErr w:type="spellStart"/>
            <w:r w:rsidRPr="000A1B3C">
              <w:t>deterrninismo</w:t>
            </w:r>
            <w:proofErr w:type="spellEnd"/>
            <w:r w:rsidRPr="000A1B3C">
              <w:t xml:space="preserve"> de tipo fatalista - que sob a forma de economicismo tem dominado, há muito tempo, na forma corrente do marxismo - como das filosofias da história de caráter teleológico</w:t>
            </w:r>
            <w:r>
              <w:t>”. (TERTULIAN, 1996, p. 63-64)</w:t>
            </w:r>
          </w:p>
          <w:p w14:paraId="6F9A8BD8" w14:textId="77777777" w:rsidR="004112DE" w:rsidRDefault="004112DE" w:rsidP="004112DE"/>
          <w:p w14:paraId="16F3C180" w14:textId="77777777" w:rsidR="004112DE" w:rsidRPr="00F522CB" w:rsidRDefault="004112DE" w:rsidP="004112DE">
            <w:r>
              <w:tab/>
              <w:t>A construção teórica de Lukács passa pelas seguintes seções, que devem ser tomados como os principais pontos programáticos:</w:t>
            </w:r>
          </w:p>
          <w:p w14:paraId="205311DC" w14:textId="77777777" w:rsidR="004112DE" w:rsidRPr="00F522CB" w:rsidRDefault="004112DE" w:rsidP="004112DE">
            <w:r w:rsidRPr="00F522CB">
              <w:t>1 – O trabalho como posição teleológica</w:t>
            </w:r>
          </w:p>
          <w:p w14:paraId="2DE0EDE7" w14:textId="77777777" w:rsidR="004112DE" w:rsidRPr="00F522CB" w:rsidRDefault="004112DE" w:rsidP="004112DE">
            <w:r w:rsidRPr="00F522CB">
              <w:t>2 – O trabalho como modelo da práxis social</w:t>
            </w:r>
          </w:p>
          <w:p w14:paraId="29138D9D" w14:textId="77777777" w:rsidR="004112DE" w:rsidRDefault="004112DE" w:rsidP="004112DE">
            <w:r w:rsidRPr="00F522CB">
              <w:t xml:space="preserve">3 – A relação sujeito-objeto no trabalho e </w:t>
            </w:r>
            <w:proofErr w:type="spellStart"/>
            <w:r w:rsidRPr="00F522CB">
              <w:t>sua</w:t>
            </w:r>
            <w:proofErr w:type="spellEnd"/>
            <w:r w:rsidRPr="00F522CB">
              <w:t xml:space="preserve"> </w:t>
            </w:r>
            <w:proofErr w:type="spellStart"/>
            <w:r w:rsidRPr="00F522CB">
              <w:t>conseqüências</w:t>
            </w:r>
            <w:proofErr w:type="spellEnd"/>
            <w:r w:rsidRPr="00F522CB">
              <w:t>.</w:t>
            </w:r>
          </w:p>
          <w:p w14:paraId="370C517A" w14:textId="77777777" w:rsidR="005C714F" w:rsidRDefault="005C714F" w:rsidP="00B04342">
            <w:pPr>
              <w:pStyle w:val="Ttulo"/>
              <w:spacing w:line="240" w:lineRule="auto"/>
              <w:jc w:val="both"/>
              <w:rPr>
                <w:rFonts w:ascii="Calibri" w:hAnsi="Calibri" w:cs="Calibri"/>
                <w:smallCaps/>
                <w:szCs w:val="22"/>
              </w:rPr>
            </w:pPr>
          </w:p>
          <w:p w14:paraId="370C517B" w14:textId="77777777" w:rsidR="00E30F7B" w:rsidRPr="00B22856" w:rsidRDefault="00E30F7B" w:rsidP="00B04342">
            <w:pPr>
              <w:pStyle w:val="Ttulo"/>
              <w:spacing w:line="240" w:lineRule="auto"/>
              <w:jc w:val="both"/>
              <w:rPr>
                <w:rFonts w:ascii="Calibri" w:hAnsi="Calibri" w:cs="Calibri"/>
                <w:smallCaps/>
                <w:szCs w:val="22"/>
              </w:rPr>
            </w:pPr>
          </w:p>
        </w:tc>
      </w:tr>
      <w:tr w:rsidR="009630F7" w:rsidRPr="00585602" w14:paraId="370C5182" w14:textId="77777777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17D" w14:textId="77777777" w:rsidR="009168F5" w:rsidRPr="00E30F7B" w:rsidRDefault="009168F5" w:rsidP="00B04342">
            <w:pPr>
              <w:ind w:firstLine="0"/>
              <w:rPr>
                <w:rFonts w:ascii="Calibri" w:hAnsi="Calibri" w:cs="Calibri"/>
                <w:smallCaps/>
              </w:rPr>
            </w:pPr>
            <w:r w:rsidRPr="00E30F7B">
              <w:rPr>
                <w:rFonts w:ascii="Calibri" w:hAnsi="Calibri" w:cs="Calibri"/>
                <w:smallCaps/>
              </w:rPr>
              <w:lastRenderedPageBreak/>
              <w:t>Bibliografia Básica:</w:t>
            </w:r>
          </w:p>
          <w:p w14:paraId="370C517E" w14:textId="3E9C4D10" w:rsidR="009630F7" w:rsidRDefault="00E30F7B" w:rsidP="004112DE">
            <w:pPr>
              <w:pStyle w:val="Corpodetexto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112DE">
              <w:t xml:space="preserve">LUKÁCS, </w:t>
            </w:r>
            <w:proofErr w:type="spellStart"/>
            <w:r w:rsidR="004112DE">
              <w:t>György</w:t>
            </w:r>
            <w:proofErr w:type="spellEnd"/>
            <w:r w:rsidR="004112DE">
              <w:t xml:space="preserve">. Para uma ontologia do ser social II. São Paulo: </w:t>
            </w:r>
            <w:proofErr w:type="spellStart"/>
            <w:r w:rsidR="004112DE">
              <w:t>Boitempo</w:t>
            </w:r>
            <w:proofErr w:type="spellEnd"/>
            <w:r w:rsidR="004112DE">
              <w:t>, 2013.</w:t>
            </w:r>
          </w:p>
          <w:p w14:paraId="370C5180" w14:textId="77777777" w:rsidR="00E30F7B" w:rsidRDefault="00E30F7B" w:rsidP="004112DE">
            <w:pPr>
              <w:pStyle w:val="Corpodetexto"/>
              <w:rPr>
                <w:rFonts w:ascii="Calibri" w:hAnsi="Calibri" w:cs="Calibri"/>
                <w:sz w:val="22"/>
                <w:szCs w:val="22"/>
              </w:rPr>
            </w:pPr>
          </w:p>
          <w:p w14:paraId="370C5181" w14:textId="77777777" w:rsidR="00E30F7B" w:rsidRPr="00B22856" w:rsidRDefault="00E30F7B" w:rsidP="00B04342">
            <w:pPr>
              <w:pStyle w:val="Corpodetexto"/>
              <w:ind w:left="3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30F7" w:rsidRPr="009168F5" w14:paraId="370C5186" w14:textId="77777777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183" w14:textId="77777777" w:rsidR="009630F7" w:rsidRPr="00E30F7B" w:rsidRDefault="009168F5" w:rsidP="00B04342">
            <w:pPr>
              <w:ind w:firstLine="0"/>
              <w:rPr>
                <w:rFonts w:ascii="Calibri" w:hAnsi="Calibri" w:cs="Calibri"/>
                <w:smallCaps/>
              </w:rPr>
            </w:pPr>
            <w:r w:rsidRPr="00E30F7B">
              <w:rPr>
                <w:rFonts w:ascii="Calibri" w:hAnsi="Calibri" w:cs="Calibri"/>
                <w:smallCaps/>
              </w:rPr>
              <w:t xml:space="preserve">Bibliografia Complementar: </w:t>
            </w:r>
          </w:p>
          <w:p w14:paraId="71352A26" w14:textId="77777777" w:rsidR="004112DE" w:rsidRPr="006E7A87" w:rsidRDefault="00E30F7B" w:rsidP="004112DE"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 </w:t>
            </w:r>
            <w:r w:rsidR="004112DE">
              <w:t>DUAYER, M. Mercadoria e Trabalho Estranhado: Marx e a crítica do trabalho no capitalismo.</w:t>
            </w:r>
            <w:r w:rsidR="004112DE" w:rsidRPr="00FE3668">
              <w:rPr>
                <w:b/>
              </w:rPr>
              <w:t xml:space="preserve"> </w:t>
            </w:r>
            <w:r w:rsidR="004112DE" w:rsidRPr="004549AC">
              <w:rPr>
                <w:b/>
              </w:rPr>
              <w:t>Margem Esquerda</w:t>
            </w:r>
            <w:r w:rsidR="004112DE">
              <w:t>, São Paulo, v. 8, p. 88-99, 2011</w:t>
            </w:r>
            <w:r w:rsidR="004112DE" w:rsidRPr="004549AC">
              <w:t>.</w:t>
            </w:r>
          </w:p>
          <w:p w14:paraId="1F9EE420" w14:textId="77777777" w:rsidR="004112DE" w:rsidRPr="006E7A87" w:rsidRDefault="004112DE" w:rsidP="004112DE">
            <w:r w:rsidRPr="006E7A87">
              <w:t>__________</w:t>
            </w:r>
            <w:r>
              <w:t>,</w:t>
            </w:r>
            <w:r w:rsidRPr="0037149A">
              <w:t xml:space="preserve"> </w:t>
            </w:r>
            <w:r>
              <w:t>MEDEIROS, J.L.</w:t>
            </w:r>
            <w:r w:rsidRPr="0037149A">
              <w:t xml:space="preserve"> A ontologia crítica de Lukács: para uma ética</w:t>
            </w:r>
            <w:r>
              <w:t xml:space="preserve"> </w:t>
            </w:r>
            <w:r w:rsidRPr="0037149A">
              <w:t xml:space="preserve">objetivamente fundada. </w:t>
            </w:r>
            <w:r w:rsidRPr="0037149A">
              <w:rPr>
                <w:b/>
              </w:rPr>
              <w:t xml:space="preserve">XI Jornadas de </w:t>
            </w:r>
            <w:proofErr w:type="spellStart"/>
            <w:r w:rsidRPr="0037149A">
              <w:rPr>
                <w:b/>
              </w:rPr>
              <w:t>Economía</w:t>
            </w:r>
            <w:proofErr w:type="spellEnd"/>
            <w:r w:rsidRPr="0037149A">
              <w:rPr>
                <w:b/>
              </w:rPr>
              <w:t xml:space="preserve"> Crítica</w:t>
            </w:r>
            <w:r w:rsidRPr="0037149A">
              <w:t xml:space="preserve">, março de 2008. </w:t>
            </w:r>
          </w:p>
          <w:p w14:paraId="2DA25DE4" w14:textId="77777777" w:rsidR="004112DE" w:rsidRPr="004549AC" w:rsidRDefault="004112DE" w:rsidP="004112DE">
            <w:r w:rsidRPr="006E7A87">
              <w:t>__________</w:t>
            </w:r>
            <w:proofErr w:type="spellStart"/>
            <w:r w:rsidRPr="004549AC">
              <w:t>Anti-realismo</w:t>
            </w:r>
            <w:proofErr w:type="spellEnd"/>
            <w:r w:rsidRPr="004549AC">
              <w:t xml:space="preserve"> e absolutas crenças relativas. </w:t>
            </w:r>
            <w:r w:rsidRPr="004549AC">
              <w:rPr>
                <w:b/>
              </w:rPr>
              <w:t>Margem Esquerda</w:t>
            </w:r>
            <w:r w:rsidRPr="004549AC">
              <w:t xml:space="preserve">, São Paulo, v. </w:t>
            </w:r>
            <w:r w:rsidRPr="004549AC">
              <w:lastRenderedPageBreak/>
              <w:t>8, p. 109-130, 2006.</w:t>
            </w:r>
          </w:p>
          <w:p w14:paraId="48F8CB7E" w14:textId="77777777" w:rsidR="004112DE" w:rsidRPr="004549AC" w:rsidRDefault="004112DE" w:rsidP="004112DE">
            <w:r w:rsidRPr="006E7A87">
              <w:t>__________</w:t>
            </w:r>
            <w:r w:rsidRPr="004549AC">
              <w:t xml:space="preserve"> </w:t>
            </w:r>
            <w:r w:rsidRPr="004549AC">
              <w:rPr>
                <w:b/>
              </w:rPr>
              <w:t>Economia: Ciência à Frete?</w:t>
            </w:r>
            <w:r w:rsidRPr="004549AC">
              <w:t xml:space="preserve"> [</w:t>
            </w:r>
            <w:proofErr w:type="spellStart"/>
            <w:r w:rsidRPr="004549AC">
              <w:t>working</w:t>
            </w:r>
            <w:proofErr w:type="spellEnd"/>
            <w:r w:rsidRPr="004549AC">
              <w:t xml:space="preserve"> </w:t>
            </w:r>
            <w:proofErr w:type="spellStart"/>
            <w:r w:rsidRPr="004549AC">
              <w:t>paper</w:t>
            </w:r>
            <w:proofErr w:type="spellEnd"/>
            <w:r w:rsidRPr="004549AC">
              <w:t>] Niterói: 1° Seminário Acadêmico de Economia – UFF, 2003.</w:t>
            </w:r>
          </w:p>
          <w:p w14:paraId="0BA38E8C" w14:textId="77777777" w:rsidR="004112DE" w:rsidRDefault="004112DE" w:rsidP="004112DE">
            <w:r w:rsidRPr="006E7A87">
              <w:t>__________</w:t>
            </w:r>
            <w:r w:rsidRPr="004549AC">
              <w:t xml:space="preserve">Economia Depois do Relativismo: Crítica Ontológica ou Ceticismo Instrumental? </w:t>
            </w:r>
            <w:r w:rsidRPr="004549AC">
              <w:rPr>
                <w:b/>
              </w:rPr>
              <w:t>Anais do VIII Congresso de Economia Política</w:t>
            </w:r>
            <w:r w:rsidRPr="004549AC">
              <w:t>, Florianópolis, 2003.</w:t>
            </w:r>
          </w:p>
          <w:p w14:paraId="1CA0484F" w14:textId="77777777" w:rsidR="004112DE" w:rsidRPr="0037149A" w:rsidRDefault="004112DE" w:rsidP="004112DE">
            <w:r w:rsidRPr="006E7A87">
              <w:t>__________</w:t>
            </w:r>
            <w:r>
              <w:t>MEDEIROS, J.L.</w:t>
            </w:r>
            <w:r w:rsidRPr="0037149A">
              <w:t xml:space="preserve">&amp; PAINCEIRA, J.P. A miséria do instrumentalismo na tradição neoclássica. </w:t>
            </w:r>
            <w:r w:rsidRPr="0037149A">
              <w:rPr>
                <w:b/>
              </w:rPr>
              <w:t>Revista de Estudos Econômicos</w:t>
            </w:r>
            <w:r w:rsidRPr="0037149A">
              <w:t>, FIPE/USP, v. 31, n° 4, p. 723-783, 2001.</w:t>
            </w:r>
          </w:p>
          <w:p w14:paraId="4C02C20F" w14:textId="77777777" w:rsidR="004112DE" w:rsidRDefault="004112DE" w:rsidP="004112DE">
            <w:r w:rsidRPr="0037149A">
              <w:t xml:space="preserve">MEDEIROS, J.L.. </w:t>
            </w:r>
            <w:r w:rsidRPr="0037149A">
              <w:rPr>
                <w:b/>
              </w:rPr>
              <w:t>A Economia Diante do Horror Econômico: Uma Crítica</w:t>
            </w:r>
            <w:r>
              <w:rPr>
                <w:b/>
              </w:rPr>
              <w:t xml:space="preserve"> </w:t>
            </w:r>
            <w:r w:rsidRPr="0037149A">
              <w:rPr>
                <w:b/>
              </w:rPr>
              <w:t>Ontológica dos Surtos de Altruísmo da Ciência Econômica</w:t>
            </w:r>
            <w:r w:rsidRPr="0037149A">
              <w:t>. Agosto/2007.</w:t>
            </w:r>
            <w:r>
              <w:t xml:space="preserve"> </w:t>
            </w:r>
            <w:r w:rsidRPr="0037149A">
              <w:t>Versão não publicada.</w:t>
            </w:r>
          </w:p>
          <w:p w14:paraId="20DB9E9B" w14:textId="77777777" w:rsidR="004112DE" w:rsidRPr="0037149A" w:rsidRDefault="004112DE" w:rsidP="004112DE">
            <w:r w:rsidRPr="001F7672">
              <w:t xml:space="preserve">TERTULIAN, Nicolas. </w:t>
            </w:r>
            <w:r w:rsidRPr="001F7672">
              <w:rPr>
                <w:b/>
              </w:rPr>
              <w:t>Georg Lukács: etapas de seu pensamento estético</w:t>
            </w:r>
            <w:r w:rsidRPr="001F7672">
              <w:t>. São P</w:t>
            </w:r>
            <w:r>
              <w:t>aulo: Editora Unesp, 2008.</w:t>
            </w:r>
          </w:p>
          <w:p w14:paraId="24605C07" w14:textId="77777777" w:rsidR="004112DE" w:rsidRDefault="004112DE" w:rsidP="004112DE">
            <w:r w:rsidRPr="006E7A87">
              <w:t>__________</w:t>
            </w:r>
            <w:r w:rsidRPr="0037149A">
              <w:t xml:space="preserve">O Pensamento do Último Lukács. In: </w:t>
            </w:r>
            <w:r w:rsidRPr="0037149A">
              <w:rPr>
                <w:b/>
              </w:rPr>
              <w:t>Revista Outubro</w:t>
            </w:r>
            <w:r w:rsidRPr="0037149A">
              <w:t>. N° 16, 2007.</w:t>
            </w:r>
          </w:p>
          <w:p w14:paraId="370C5185" w14:textId="5F0EB046" w:rsidR="00E30F7B" w:rsidRPr="004112DE" w:rsidRDefault="004112DE" w:rsidP="004112DE">
            <w:r w:rsidRPr="00512A94">
              <w:t>__________</w:t>
            </w:r>
            <w:r>
              <w:t xml:space="preserve">Uma Apresentação à Ontologia do Ser Social, de Lukács. </w:t>
            </w:r>
            <w:r w:rsidRPr="00702C8E">
              <w:rPr>
                <w:b/>
              </w:rPr>
              <w:t>Crítica Marxista</w:t>
            </w:r>
            <w:r>
              <w:t xml:space="preserve">, p. 54-69, 1996.  Disponível em </w:t>
            </w:r>
            <w:hyperlink r:id="rId7" w:history="1">
              <w:r w:rsidRPr="009623D7">
                <w:rPr>
                  <w:rStyle w:val="Hyperlink"/>
                </w:rPr>
                <w:t>http://www.unicamp.br/cemarx/criticamarxista/3_Tertulian.pdf</w:t>
              </w:r>
            </w:hyperlink>
            <w:r>
              <w:t xml:space="preserve"> Última Consulta: 14/12/2011)</w:t>
            </w:r>
          </w:p>
        </w:tc>
      </w:tr>
    </w:tbl>
    <w:p w14:paraId="370C5187" w14:textId="77777777" w:rsidR="005330F2" w:rsidRPr="009168F5" w:rsidRDefault="005330F2" w:rsidP="00E61193">
      <w:pPr>
        <w:spacing w:after="0"/>
        <w:ind w:firstLine="0"/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4A2DDF" w:rsidRPr="004A2DDF" w14:paraId="370C5190" w14:textId="77777777" w:rsidTr="005F6DD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C5188" w14:textId="77777777" w:rsidR="004A2DDF" w:rsidRPr="004A2DDF" w:rsidRDefault="004A2DDF" w:rsidP="005F6DDB">
            <w:pPr>
              <w:spacing w:before="120" w:after="0"/>
              <w:ind w:firstLine="0"/>
              <w:jc w:val="center"/>
              <w:rPr>
                <w:rFonts w:ascii="Calibri" w:hAnsi="Calibri" w:cs="Calibri"/>
                <w:smallCaps/>
                <w:sz w:val="24"/>
                <w:szCs w:val="24"/>
                <w:lang w:val="en-US"/>
              </w:rPr>
            </w:pPr>
          </w:p>
          <w:p w14:paraId="370C5189" w14:textId="77777777" w:rsidR="004A2DDF" w:rsidRPr="004A2DDF" w:rsidRDefault="004A2DDF" w:rsidP="005F6DDB">
            <w:pPr>
              <w:spacing w:before="120" w:after="0"/>
              <w:ind w:firstLine="0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A2DDF">
              <w:rPr>
                <w:rFonts w:ascii="Calibri" w:hAnsi="Calibri" w:cs="Calibri"/>
                <w:smallCaps/>
                <w:sz w:val="24"/>
                <w:szCs w:val="24"/>
              </w:rPr>
              <w:t>____________________________________</w:t>
            </w:r>
          </w:p>
          <w:p w14:paraId="370C518A" w14:textId="77777777" w:rsidR="004A2DDF" w:rsidRPr="004A2DDF" w:rsidRDefault="004A2DDF" w:rsidP="005F6DDB">
            <w:pPr>
              <w:spacing w:after="240"/>
              <w:ind w:firstLine="0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A2DDF">
              <w:rPr>
                <w:rFonts w:ascii="Calibri" w:hAnsi="Calibri" w:cs="Calibri"/>
                <w:smallCaps/>
                <w:sz w:val="24"/>
                <w:szCs w:val="24"/>
              </w:rPr>
              <w:t>Coordenador</w:t>
            </w:r>
          </w:p>
          <w:p w14:paraId="370C518B" w14:textId="77777777" w:rsidR="004A2DDF" w:rsidRPr="004A2DDF" w:rsidRDefault="004A2DDF" w:rsidP="005F6DDB">
            <w:pPr>
              <w:spacing w:before="120" w:after="0"/>
              <w:ind w:firstLine="425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A2DDF">
              <w:rPr>
                <w:rFonts w:ascii="Calibri" w:hAnsi="Calibri" w:cs="Calibri"/>
                <w:smallCaps/>
                <w:sz w:val="24"/>
                <w:szCs w:val="24"/>
              </w:rPr>
              <w:t>Data _____/_____/_____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C518C" w14:textId="77777777" w:rsidR="004A2DDF" w:rsidRPr="004A2DDF" w:rsidRDefault="004A2DDF" w:rsidP="005F6DDB">
            <w:pPr>
              <w:spacing w:before="120" w:after="0"/>
              <w:ind w:firstLine="0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</w:p>
          <w:p w14:paraId="370C518D" w14:textId="77777777" w:rsidR="004A2DDF" w:rsidRPr="004A2DDF" w:rsidRDefault="004A2DDF" w:rsidP="005F6DDB">
            <w:pPr>
              <w:spacing w:before="120" w:after="0"/>
              <w:ind w:firstLine="0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A2DDF">
              <w:rPr>
                <w:rFonts w:ascii="Calibri" w:hAnsi="Calibri" w:cs="Calibri"/>
                <w:smallCaps/>
                <w:sz w:val="24"/>
                <w:szCs w:val="24"/>
              </w:rPr>
              <w:t>___________________________________</w:t>
            </w:r>
          </w:p>
          <w:p w14:paraId="370C518E" w14:textId="77777777" w:rsidR="004A2DDF" w:rsidRPr="004A2DDF" w:rsidRDefault="004A2DDF" w:rsidP="005F6DDB">
            <w:pPr>
              <w:spacing w:after="240"/>
              <w:ind w:firstLine="0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A2DDF">
              <w:rPr>
                <w:rFonts w:ascii="Calibri" w:hAnsi="Calibri" w:cs="Calibri"/>
                <w:smallCaps/>
                <w:sz w:val="24"/>
                <w:szCs w:val="24"/>
              </w:rPr>
              <w:t>Chefe de Departamento</w:t>
            </w:r>
          </w:p>
          <w:p w14:paraId="370C518F" w14:textId="77777777" w:rsidR="004A2DDF" w:rsidRPr="004A2DDF" w:rsidRDefault="004A2DDF" w:rsidP="005F6DDB">
            <w:pPr>
              <w:spacing w:before="120" w:after="0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A2DDF">
              <w:rPr>
                <w:rFonts w:ascii="Calibri" w:hAnsi="Calibri" w:cs="Calibri"/>
                <w:smallCaps/>
                <w:sz w:val="24"/>
                <w:szCs w:val="24"/>
              </w:rPr>
              <w:t>Data _____/_____/_____</w:t>
            </w:r>
          </w:p>
        </w:tc>
      </w:tr>
    </w:tbl>
    <w:p w14:paraId="370C5191" w14:textId="77777777" w:rsidR="005330F2" w:rsidRDefault="005330F2" w:rsidP="00AF6CF8">
      <w:pPr>
        <w:spacing w:before="60" w:after="0"/>
        <w:ind w:firstLine="0"/>
        <w:rPr>
          <w:sz w:val="20"/>
          <w:szCs w:val="20"/>
        </w:rPr>
      </w:pPr>
    </w:p>
    <w:p w14:paraId="370C5192" w14:textId="77777777" w:rsidR="00B04342" w:rsidRDefault="00B04342" w:rsidP="00AF6CF8">
      <w:pPr>
        <w:spacing w:before="60" w:after="0"/>
        <w:ind w:firstLine="0"/>
        <w:rPr>
          <w:sz w:val="20"/>
          <w:szCs w:val="20"/>
        </w:rPr>
      </w:pPr>
    </w:p>
    <w:p w14:paraId="370C5193" w14:textId="77777777" w:rsidR="00B04342" w:rsidRDefault="00B04342" w:rsidP="00AF6CF8">
      <w:pPr>
        <w:spacing w:before="60" w:after="0"/>
        <w:ind w:firstLine="0"/>
        <w:rPr>
          <w:sz w:val="20"/>
          <w:szCs w:val="20"/>
        </w:rPr>
      </w:pPr>
    </w:p>
    <w:p w14:paraId="370C5194" w14:textId="77777777" w:rsidR="00B04342" w:rsidRDefault="00B04342" w:rsidP="00AF6CF8">
      <w:pPr>
        <w:spacing w:before="60" w:after="0"/>
        <w:ind w:firstLine="0"/>
        <w:rPr>
          <w:sz w:val="20"/>
          <w:szCs w:val="20"/>
        </w:rPr>
      </w:pPr>
    </w:p>
    <w:p w14:paraId="370C5195" w14:textId="77777777" w:rsidR="00B04342" w:rsidRDefault="00B04342" w:rsidP="00AF6CF8">
      <w:pPr>
        <w:spacing w:before="60" w:after="0"/>
        <w:ind w:firstLine="0"/>
        <w:rPr>
          <w:sz w:val="20"/>
          <w:szCs w:val="20"/>
        </w:rPr>
      </w:pPr>
    </w:p>
    <w:p w14:paraId="370C5196" w14:textId="77777777" w:rsidR="00B04342" w:rsidRDefault="00B04342" w:rsidP="00AF6CF8">
      <w:pPr>
        <w:spacing w:before="60" w:after="0"/>
        <w:ind w:firstLine="0"/>
        <w:rPr>
          <w:sz w:val="20"/>
          <w:szCs w:val="20"/>
        </w:rPr>
      </w:pPr>
    </w:p>
    <w:p w14:paraId="370C5197" w14:textId="77777777" w:rsidR="00B04342" w:rsidRDefault="00B04342" w:rsidP="00AF6CF8">
      <w:pPr>
        <w:spacing w:before="60" w:after="0"/>
        <w:ind w:firstLine="0"/>
        <w:rPr>
          <w:sz w:val="20"/>
          <w:szCs w:val="20"/>
        </w:rPr>
      </w:pPr>
    </w:p>
    <w:p w14:paraId="370C5198" w14:textId="77777777" w:rsidR="00B04342" w:rsidRDefault="00B04342" w:rsidP="00AF6CF8">
      <w:pPr>
        <w:spacing w:before="60" w:after="0"/>
        <w:ind w:firstLine="0"/>
        <w:rPr>
          <w:sz w:val="20"/>
          <w:szCs w:val="20"/>
        </w:rPr>
      </w:pPr>
    </w:p>
    <w:p w14:paraId="370C5199" w14:textId="77777777" w:rsidR="00B04342" w:rsidRDefault="00B04342" w:rsidP="00AF6CF8">
      <w:pPr>
        <w:spacing w:before="60" w:after="0"/>
        <w:ind w:firstLine="0"/>
        <w:rPr>
          <w:sz w:val="20"/>
          <w:szCs w:val="20"/>
        </w:rPr>
      </w:pPr>
    </w:p>
    <w:p w14:paraId="370C519A" w14:textId="77777777" w:rsidR="00B04342" w:rsidRPr="00B04342" w:rsidRDefault="00B04342" w:rsidP="00AF6CF8">
      <w:pPr>
        <w:spacing w:before="60" w:after="0"/>
        <w:ind w:firstLine="0"/>
        <w:rPr>
          <w:rFonts w:asciiTheme="minorHAnsi" w:hAnsiTheme="minorHAnsi"/>
          <w:sz w:val="20"/>
          <w:szCs w:val="20"/>
        </w:rPr>
      </w:pPr>
      <w:r w:rsidRPr="00B04342">
        <w:rPr>
          <w:rFonts w:asciiTheme="minorHAnsi" w:hAnsiTheme="minorHAnsi"/>
          <w:sz w:val="20"/>
          <w:szCs w:val="20"/>
        </w:rPr>
        <w:t>Setem</w:t>
      </w:r>
      <w:r w:rsidR="00FB4EB6">
        <w:rPr>
          <w:rFonts w:asciiTheme="minorHAnsi" w:hAnsiTheme="minorHAnsi"/>
          <w:sz w:val="20"/>
          <w:szCs w:val="20"/>
        </w:rPr>
        <w:t>b</w:t>
      </w:r>
      <w:r w:rsidRPr="00B04342">
        <w:rPr>
          <w:rFonts w:asciiTheme="minorHAnsi" w:hAnsiTheme="minorHAnsi"/>
          <w:sz w:val="20"/>
          <w:szCs w:val="20"/>
        </w:rPr>
        <w:t>ro/2015</w:t>
      </w:r>
    </w:p>
    <w:sectPr w:rsidR="00B04342" w:rsidRPr="00B04342" w:rsidSect="00AF6CF8">
      <w:headerReference w:type="default" r:id="rId8"/>
      <w:pgSz w:w="11907" w:h="16840" w:code="9"/>
      <w:pgMar w:top="851" w:right="851" w:bottom="851" w:left="1418" w:header="680" w:footer="96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519D" w14:textId="77777777" w:rsidR="004E785A" w:rsidRDefault="004E785A" w:rsidP="005F3D30">
      <w:r>
        <w:separator/>
      </w:r>
    </w:p>
  </w:endnote>
  <w:endnote w:type="continuationSeparator" w:id="0">
    <w:p w14:paraId="370C519E" w14:textId="77777777" w:rsidR="004E785A" w:rsidRDefault="004E785A" w:rsidP="005F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519B" w14:textId="77777777" w:rsidR="004E785A" w:rsidRDefault="004E785A" w:rsidP="005F3D30">
      <w:r>
        <w:separator/>
      </w:r>
    </w:p>
  </w:footnote>
  <w:footnote w:type="continuationSeparator" w:id="0">
    <w:p w14:paraId="370C519C" w14:textId="77777777" w:rsidR="004E785A" w:rsidRDefault="004E785A" w:rsidP="005F3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519F" w14:textId="77777777" w:rsidR="009168F5" w:rsidRDefault="009168F5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966"/>
      <w:gridCol w:w="8888"/>
    </w:tblGrid>
    <w:tr w:rsidR="009168F5" w14:paraId="370C51A2" w14:textId="77777777" w:rsidTr="00B22856">
      <w:trPr>
        <w:trHeight w:val="283"/>
      </w:trPr>
      <w:tc>
        <w:tcPr>
          <w:tcW w:w="966" w:type="dxa"/>
          <w:vAlign w:val="center"/>
        </w:tcPr>
        <w:p w14:paraId="370C51A0" w14:textId="77777777" w:rsidR="009168F5" w:rsidRDefault="005D307C" w:rsidP="00B23CEA">
          <w:pPr>
            <w:pStyle w:val="Cabealho"/>
            <w:spacing w:after="0"/>
            <w:ind w:firstLine="0"/>
            <w:jc w:val="center"/>
          </w:pPr>
          <w:r>
            <w:rPr>
              <w:noProof/>
              <w:spacing w:val="50"/>
              <w:sz w:val="22"/>
              <w:szCs w:val="22"/>
            </w:rPr>
            <w:drawing>
              <wp:inline distT="0" distB="0" distL="0" distR="0" wp14:anchorId="370C51A9" wp14:editId="370C51AA">
                <wp:extent cx="276225" cy="161925"/>
                <wp:effectExtent l="0" t="0" r="9525" b="9525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8" w:type="dxa"/>
        </w:tcPr>
        <w:p w14:paraId="370C51A1" w14:textId="77777777" w:rsidR="009168F5" w:rsidRPr="00B04342" w:rsidRDefault="009168F5" w:rsidP="00B22856">
          <w:pPr>
            <w:pStyle w:val="Cabealho"/>
            <w:spacing w:after="0"/>
            <w:ind w:firstLine="0"/>
          </w:pPr>
          <w:r w:rsidRPr="00B04342">
            <w:rPr>
              <w:rFonts w:ascii="Calibri" w:hAnsi="Calibri"/>
              <w:smallCaps/>
            </w:rPr>
            <w:t>Universidade Federal Fluminense</w:t>
          </w:r>
        </w:p>
      </w:tc>
    </w:tr>
    <w:tr w:rsidR="009168F5" w14:paraId="370C51A6" w14:textId="77777777" w:rsidTr="00B22856">
      <w:trPr>
        <w:trHeight w:val="283"/>
      </w:trPr>
      <w:tc>
        <w:tcPr>
          <w:tcW w:w="966" w:type="dxa"/>
          <w:vAlign w:val="center"/>
        </w:tcPr>
        <w:p w14:paraId="370C51A3" w14:textId="77777777" w:rsidR="009168F5" w:rsidRDefault="005D307C" w:rsidP="00B23CEA">
          <w:pPr>
            <w:pStyle w:val="Cabealho"/>
            <w:spacing w:after="0"/>
            <w:ind w:firstLine="0"/>
            <w:jc w:val="center"/>
          </w:pPr>
          <w:r>
            <w:rPr>
              <w:noProof/>
              <w:spacing w:val="50"/>
              <w:sz w:val="22"/>
              <w:szCs w:val="22"/>
            </w:rPr>
            <w:drawing>
              <wp:inline distT="0" distB="0" distL="0" distR="0" wp14:anchorId="370C51AB" wp14:editId="370C51AC">
                <wp:extent cx="476250" cy="20955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8" w:type="dxa"/>
        </w:tcPr>
        <w:p w14:paraId="370C51A4" w14:textId="77777777" w:rsidR="009168F5" w:rsidRPr="00B04342" w:rsidRDefault="009168F5" w:rsidP="00B22856">
          <w:pPr>
            <w:pStyle w:val="Cabealho"/>
            <w:spacing w:after="0"/>
            <w:ind w:firstLine="0"/>
            <w:rPr>
              <w:rFonts w:ascii="Calibri" w:hAnsi="Calibri"/>
              <w:smallCaps/>
            </w:rPr>
          </w:pPr>
          <w:r w:rsidRPr="00B04342">
            <w:rPr>
              <w:rFonts w:ascii="Calibri" w:hAnsi="Calibri"/>
              <w:smallCaps/>
            </w:rPr>
            <w:t>Pró-Reitoria de Graduação</w:t>
          </w:r>
        </w:p>
        <w:p w14:paraId="370C51A5" w14:textId="77777777" w:rsidR="00B22856" w:rsidRPr="00B04342" w:rsidRDefault="00B22856" w:rsidP="00B22856">
          <w:pPr>
            <w:pStyle w:val="Cabealho"/>
            <w:spacing w:after="0"/>
            <w:ind w:firstLine="0"/>
            <w:rPr>
              <w:sz w:val="24"/>
              <w:szCs w:val="24"/>
            </w:rPr>
          </w:pPr>
          <w:r w:rsidRPr="00B04342">
            <w:rPr>
              <w:rFonts w:ascii="Calibri" w:hAnsi="Calibri"/>
              <w:smallCaps/>
              <w:sz w:val="22"/>
              <w:szCs w:val="22"/>
            </w:rPr>
            <w:t>Coordenadoria de Apoio ao Ensino de Graduação</w:t>
          </w:r>
        </w:p>
      </w:tc>
    </w:tr>
  </w:tbl>
  <w:p w14:paraId="370C51A7" w14:textId="77777777" w:rsidR="00EE2E58" w:rsidRDefault="00EE2E58" w:rsidP="00E61193">
    <w:pPr>
      <w:pStyle w:val="Cabealho"/>
      <w:spacing w:after="0"/>
      <w:rPr>
        <w:sz w:val="18"/>
        <w:szCs w:val="18"/>
      </w:rPr>
    </w:pPr>
  </w:p>
  <w:p w14:paraId="370C51A8" w14:textId="77777777" w:rsidR="00B22856" w:rsidRPr="00E61193" w:rsidRDefault="00B22856" w:rsidP="00E61193">
    <w:pPr>
      <w:pStyle w:val="Cabealho"/>
      <w:spacing w:after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E89"/>
    <w:multiLevelType w:val="hybridMultilevel"/>
    <w:tmpl w:val="ABE2AE60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C0A6739"/>
    <w:multiLevelType w:val="hybridMultilevel"/>
    <w:tmpl w:val="8998F0C4"/>
    <w:lvl w:ilvl="0" w:tplc="0416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C0D09"/>
    <w:multiLevelType w:val="hybridMultilevel"/>
    <w:tmpl w:val="9E080F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074BF"/>
    <w:multiLevelType w:val="hybridMultilevel"/>
    <w:tmpl w:val="485C84FC"/>
    <w:lvl w:ilvl="0" w:tplc="FFFFFFFF">
      <w:start w:val="1"/>
      <w:numFmt w:val="bullet"/>
      <w:lvlText w:val=""/>
      <w:lvlJc w:val="left"/>
      <w:pPr>
        <w:tabs>
          <w:tab w:val="num" w:pos="988"/>
        </w:tabs>
        <w:ind w:left="9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4" w15:restartNumberingAfterBreak="0">
    <w:nsid w:val="33421C00"/>
    <w:multiLevelType w:val="hybridMultilevel"/>
    <w:tmpl w:val="E806D6AE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012C36"/>
    <w:multiLevelType w:val="hybridMultilevel"/>
    <w:tmpl w:val="F4CE057E"/>
    <w:lvl w:ilvl="0" w:tplc="EB1C16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859DC"/>
    <w:multiLevelType w:val="hybridMultilevel"/>
    <w:tmpl w:val="4C1C61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D1AF7"/>
    <w:multiLevelType w:val="hybridMultilevel"/>
    <w:tmpl w:val="76C03A2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0F8"/>
    <w:rsid w:val="00010164"/>
    <w:rsid w:val="00023926"/>
    <w:rsid w:val="000305C4"/>
    <w:rsid w:val="00091B55"/>
    <w:rsid w:val="000E2257"/>
    <w:rsid w:val="00105277"/>
    <w:rsid w:val="001307C9"/>
    <w:rsid w:val="00130E2E"/>
    <w:rsid w:val="00135C40"/>
    <w:rsid w:val="00161942"/>
    <w:rsid w:val="001764A5"/>
    <w:rsid w:val="001C7810"/>
    <w:rsid w:val="001E04F6"/>
    <w:rsid w:val="001E633E"/>
    <w:rsid w:val="001F37A6"/>
    <w:rsid w:val="00205870"/>
    <w:rsid w:val="0021674E"/>
    <w:rsid w:val="0022626A"/>
    <w:rsid w:val="00234F58"/>
    <w:rsid w:val="00235FB6"/>
    <w:rsid w:val="0026249A"/>
    <w:rsid w:val="00284A45"/>
    <w:rsid w:val="002C10F8"/>
    <w:rsid w:val="002D671E"/>
    <w:rsid w:val="002F5EDA"/>
    <w:rsid w:val="00342177"/>
    <w:rsid w:val="0035674C"/>
    <w:rsid w:val="003768D3"/>
    <w:rsid w:val="00386802"/>
    <w:rsid w:val="003E0F5D"/>
    <w:rsid w:val="004112DE"/>
    <w:rsid w:val="00436B31"/>
    <w:rsid w:val="0049409A"/>
    <w:rsid w:val="00494A4D"/>
    <w:rsid w:val="004A2DDF"/>
    <w:rsid w:val="004B1C2A"/>
    <w:rsid w:val="004B70B2"/>
    <w:rsid w:val="004E0932"/>
    <w:rsid w:val="004E785A"/>
    <w:rsid w:val="00515311"/>
    <w:rsid w:val="005165FF"/>
    <w:rsid w:val="00525179"/>
    <w:rsid w:val="005330F2"/>
    <w:rsid w:val="00540990"/>
    <w:rsid w:val="00584E47"/>
    <w:rsid w:val="00585602"/>
    <w:rsid w:val="00592774"/>
    <w:rsid w:val="005C714F"/>
    <w:rsid w:val="005D307C"/>
    <w:rsid w:val="005F3D30"/>
    <w:rsid w:val="005F6DDB"/>
    <w:rsid w:val="00696FDD"/>
    <w:rsid w:val="006B341D"/>
    <w:rsid w:val="006D5DAF"/>
    <w:rsid w:val="007105BB"/>
    <w:rsid w:val="0071412B"/>
    <w:rsid w:val="00741384"/>
    <w:rsid w:val="00791844"/>
    <w:rsid w:val="0079461E"/>
    <w:rsid w:val="007C33BF"/>
    <w:rsid w:val="007E6FC4"/>
    <w:rsid w:val="008228E1"/>
    <w:rsid w:val="00832FEB"/>
    <w:rsid w:val="0085475A"/>
    <w:rsid w:val="00867220"/>
    <w:rsid w:val="00883BA9"/>
    <w:rsid w:val="008A195E"/>
    <w:rsid w:val="008B613D"/>
    <w:rsid w:val="008D0B18"/>
    <w:rsid w:val="00903CBC"/>
    <w:rsid w:val="00912215"/>
    <w:rsid w:val="009168F5"/>
    <w:rsid w:val="00944A23"/>
    <w:rsid w:val="0096009E"/>
    <w:rsid w:val="009630F7"/>
    <w:rsid w:val="009B65AC"/>
    <w:rsid w:val="00A012BB"/>
    <w:rsid w:val="00A05062"/>
    <w:rsid w:val="00A37509"/>
    <w:rsid w:val="00A92E96"/>
    <w:rsid w:val="00AE7E5A"/>
    <w:rsid w:val="00AF6CF8"/>
    <w:rsid w:val="00B04342"/>
    <w:rsid w:val="00B17DA6"/>
    <w:rsid w:val="00B22856"/>
    <w:rsid w:val="00B23CEA"/>
    <w:rsid w:val="00B5381D"/>
    <w:rsid w:val="00C1620D"/>
    <w:rsid w:val="00C2659B"/>
    <w:rsid w:val="00C72AF3"/>
    <w:rsid w:val="00C72F6F"/>
    <w:rsid w:val="00C80FA3"/>
    <w:rsid w:val="00C8106F"/>
    <w:rsid w:val="00C8552C"/>
    <w:rsid w:val="00CD0348"/>
    <w:rsid w:val="00CD2E3E"/>
    <w:rsid w:val="00D42A9D"/>
    <w:rsid w:val="00DB5706"/>
    <w:rsid w:val="00DD4763"/>
    <w:rsid w:val="00DF29FF"/>
    <w:rsid w:val="00E30F7B"/>
    <w:rsid w:val="00E52232"/>
    <w:rsid w:val="00E61193"/>
    <w:rsid w:val="00E64B27"/>
    <w:rsid w:val="00ED63C1"/>
    <w:rsid w:val="00EE2E58"/>
    <w:rsid w:val="00EF199E"/>
    <w:rsid w:val="00EF3839"/>
    <w:rsid w:val="00F0648E"/>
    <w:rsid w:val="00F913C6"/>
    <w:rsid w:val="00F923A2"/>
    <w:rsid w:val="00FA0B75"/>
    <w:rsid w:val="00FA3057"/>
    <w:rsid w:val="00FB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C5163"/>
  <w14:defaultImageDpi w14:val="0"/>
  <w15:docId w15:val="{31320050-2509-4517-83A0-67D8C7E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120"/>
      <w:ind w:firstLine="567"/>
      <w:jc w:val="both"/>
    </w:pPr>
    <w:rPr>
      <w:sz w:val="26"/>
      <w:szCs w:val="26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before="120" w:after="0"/>
      <w:ind w:firstLine="0"/>
      <w:jc w:val="center"/>
      <w:outlineLvl w:val="0"/>
    </w:pPr>
    <w:rPr>
      <w:b/>
      <w:bCs/>
      <w:smallCap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before="360" w:after="240"/>
      <w:ind w:firstLine="0"/>
      <w:jc w:val="center"/>
      <w:outlineLvl w:val="2"/>
    </w:pPr>
    <w:rPr>
      <w:b/>
      <w:bCs/>
      <w:small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before="360" w:after="240"/>
      <w:ind w:firstLine="0"/>
      <w:outlineLvl w:val="3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="Calibri" w:hAnsi="Calibri" w:cs="Times New Roman"/>
      <w:b/>
      <w:sz w:val="28"/>
    </w:rPr>
  </w:style>
  <w:style w:type="paragraph" w:customStyle="1" w:styleId="QUESTO">
    <w:name w:val="QUESTÃO"/>
    <w:basedOn w:val="Normal"/>
    <w:next w:val="SIMPLES"/>
    <w:pPr>
      <w:spacing w:before="120" w:after="0"/>
      <w:ind w:firstLine="0"/>
    </w:pPr>
  </w:style>
  <w:style w:type="paragraph" w:customStyle="1" w:styleId="SIMPLES">
    <w:name w:val="SIMPLES"/>
    <w:basedOn w:val="Normal"/>
    <w:pPr>
      <w:spacing w:after="0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  <w:sz w:val="2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6"/>
    </w:rPr>
  </w:style>
  <w:style w:type="paragraph" w:customStyle="1" w:styleId="ListaMarcada">
    <w:name w:val="Lista Marcada"/>
    <w:basedOn w:val="Normal"/>
    <w:pPr>
      <w:ind w:left="850" w:hanging="283"/>
    </w:pPr>
  </w:style>
  <w:style w:type="paragraph" w:customStyle="1" w:styleId="ListaMarcada2">
    <w:name w:val="Lista Marcada 2"/>
    <w:basedOn w:val="ListaMarcada"/>
    <w:pPr>
      <w:ind w:left="1417"/>
    </w:p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customStyle="1" w:styleId="Tabela">
    <w:name w:val="Tabela"/>
    <w:basedOn w:val="Normal"/>
    <w:pPr>
      <w:spacing w:after="0"/>
      <w:ind w:firstLine="0"/>
    </w:pPr>
  </w:style>
  <w:style w:type="paragraph" w:styleId="Ttulo">
    <w:name w:val="Title"/>
    <w:basedOn w:val="Normal"/>
    <w:link w:val="TtuloChar"/>
    <w:uiPriority w:val="10"/>
    <w:qFormat/>
    <w:rsid w:val="001764A5"/>
    <w:pPr>
      <w:autoSpaceDE/>
      <w:autoSpaceDN/>
      <w:spacing w:after="0" w:line="360" w:lineRule="auto"/>
      <w:ind w:firstLine="0"/>
      <w:jc w:val="center"/>
    </w:pPr>
    <w:rPr>
      <w:rFonts w:ascii="Arial" w:hAnsi="Arial" w:cs="Arial"/>
      <w:b/>
      <w:bCs/>
      <w:sz w:val="22"/>
      <w:szCs w:val="24"/>
      <w:lang w:val="en-US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C2659B"/>
    <w:pPr>
      <w:autoSpaceDE/>
      <w:autoSpaceDN/>
      <w:spacing w:after="0"/>
      <w:ind w:firstLine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8F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68F5"/>
    <w:rPr>
      <w:rFonts w:ascii="Tahoma" w:hAnsi="Tahoma" w:cs="Times New Roman"/>
      <w:sz w:val="16"/>
    </w:rPr>
  </w:style>
  <w:style w:type="paragraph" w:styleId="PargrafodaLista">
    <w:name w:val="List Paragraph"/>
    <w:basedOn w:val="Normal"/>
    <w:uiPriority w:val="34"/>
    <w:qFormat/>
    <w:rsid w:val="00E30F7B"/>
    <w:pPr>
      <w:ind w:left="720"/>
      <w:contextualSpacing/>
    </w:pPr>
  </w:style>
  <w:style w:type="character" w:styleId="Hyperlink">
    <w:name w:val="Hyperlink"/>
    <w:uiPriority w:val="99"/>
    <w:unhideWhenUsed/>
    <w:rsid w:val="00411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amp.br/cemarx/criticamarxista/3_Tertuli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Fluminense</vt:lpstr>
    </vt:vector>
  </TitlesOfParts>
  <Company>UFF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creator>MAGNO</dc:creator>
  <cp:lastModifiedBy>Maracajaro Mansor</cp:lastModifiedBy>
  <cp:revision>7</cp:revision>
  <cp:lastPrinted>1999-07-05T20:12:00Z</cp:lastPrinted>
  <dcterms:created xsi:type="dcterms:W3CDTF">2015-09-22T02:10:00Z</dcterms:created>
  <dcterms:modified xsi:type="dcterms:W3CDTF">2021-05-02T20:26:00Z</dcterms:modified>
</cp:coreProperties>
</file>